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80" w:rsidRPr="00374BD6" w:rsidRDefault="00634B80" w:rsidP="00374BD6">
      <w:pPr>
        <w:pStyle w:val="1"/>
        <w:spacing w:before="0" w:after="0" w:line="560" w:lineRule="exact"/>
        <w:jc w:val="center"/>
        <w:rPr>
          <w:rFonts w:ascii="黑体" w:eastAsia="黑体" w:hAnsi="黑体"/>
          <w:sz w:val="36"/>
          <w:szCs w:val="36"/>
          <w:lang w:eastAsia="zh-CN"/>
        </w:rPr>
      </w:pPr>
      <w:bookmarkStart w:id="0" w:name="_Toc527480627"/>
      <w:r w:rsidRPr="00374BD6">
        <w:rPr>
          <w:rFonts w:ascii="黑体" w:eastAsia="黑体" w:hAnsi="黑体" w:hint="eastAsia"/>
          <w:sz w:val="36"/>
          <w:szCs w:val="36"/>
          <w:lang w:eastAsia="zh-CN"/>
        </w:rPr>
        <w:t>南京审计大学教育发展基金会财务报销制度</w:t>
      </w:r>
      <w:bookmarkEnd w:id="0"/>
    </w:p>
    <w:p w:rsidR="00916216" w:rsidRDefault="00916216" w:rsidP="00634B80">
      <w:pPr>
        <w:spacing w:after="0" w:line="560" w:lineRule="exact"/>
        <w:ind w:firstLineChars="202" w:firstLine="646"/>
        <w:rPr>
          <w:rFonts w:ascii="宋体" w:eastAsia="宋体" w:hAnsi="宋体"/>
          <w:sz w:val="32"/>
          <w:szCs w:val="32"/>
          <w:lang w:eastAsia="zh-CN"/>
        </w:rPr>
      </w:pPr>
    </w:p>
    <w:p w:rsidR="00634B80" w:rsidRPr="00374BD6" w:rsidRDefault="00634B80" w:rsidP="00634B80">
      <w:pPr>
        <w:spacing w:after="0" w:line="560" w:lineRule="exact"/>
        <w:ind w:firstLineChars="202" w:firstLine="646"/>
        <w:rPr>
          <w:rFonts w:ascii="宋体" w:eastAsia="宋体" w:hAnsi="宋体"/>
          <w:sz w:val="32"/>
          <w:szCs w:val="32"/>
          <w:lang w:eastAsia="zh-CN"/>
        </w:rPr>
      </w:pPr>
      <w:bookmarkStart w:id="1" w:name="_GoBack"/>
      <w:bookmarkEnd w:id="1"/>
      <w:r w:rsidRPr="00374BD6">
        <w:rPr>
          <w:rFonts w:ascii="宋体" w:eastAsia="宋体" w:hAnsi="宋体" w:hint="eastAsia"/>
          <w:sz w:val="32"/>
          <w:szCs w:val="32"/>
          <w:lang w:eastAsia="zh-CN"/>
        </w:rPr>
        <w:t>为切实加强基金会经费管理，规范财务开支、审批、报销手续，保证会计信息的真实、完整，根据《中华人民共和国会计法》、《基金会管理条例》、《民间非营利组织会计制度》和本基金会章程，制定本制度。</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一、财务报销原则</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1. 财务报销坚持“依法据</w:t>
      </w:r>
      <w:proofErr w:type="gramStart"/>
      <w:r w:rsidRPr="00374BD6">
        <w:rPr>
          <w:rFonts w:ascii="宋体" w:eastAsia="宋体" w:hAnsi="宋体" w:hint="eastAsia"/>
          <w:sz w:val="32"/>
          <w:szCs w:val="32"/>
          <w:lang w:eastAsia="zh-CN"/>
        </w:rPr>
        <w:t>规</w:t>
      </w:r>
      <w:proofErr w:type="gramEnd"/>
      <w:r w:rsidRPr="00374BD6">
        <w:rPr>
          <w:rFonts w:ascii="宋体" w:eastAsia="宋体" w:hAnsi="宋体" w:hint="eastAsia"/>
          <w:sz w:val="32"/>
          <w:szCs w:val="32"/>
          <w:lang w:eastAsia="zh-CN"/>
        </w:rPr>
        <w:t>、先批后审、权责结合、民主理财”的原则，实行“一支笔”审批和集体审议联签相结合的责任制度。报销人对报销事项的合法性、合</w:t>
      </w:r>
      <w:proofErr w:type="gramStart"/>
      <w:r w:rsidRPr="00374BD6">
        <w:rPr>
          <w:rFonts w:ascii="宋体" w:eastAsia="宋体" w:hAnsi="宋体" w:hint="eastAsia"/>
          <w:sz w:val="32"/>
          <w:szCs w:val="32"/>
          <w:lang w:eastAsia="zh-CN"/>
        </w:rPr>
        <w:t>规性负</w:t>
      </w:r>
      <w:proofErr w:type="gramEnd"/>
      <w:r w:rsidRPr="00374BD6">
        <w:rPr>
          <w:rFonts w:ascii="宋体" w:eastAsia="宋体" w:hAnsi="宋体" w:hint="eastAsia"/>
          <w:sz w:val="32"/>
          <w:szCs w:val="32"/>
          <w:lang w:eastAsia="zh-CN"/>
        </w:rPr>
        <w:t>法律责任；第一审批人对其签批的财务开支业务的合法性和</w:t>
      </w:r>
      <w:proofErr w:type="gramStart"/>
      <w:r w:rsidRPr="00374BD6">
        <w:rPr>
          <w:rFonts w:ascii="宋体" w:eastAsia="宋体" w:hAnsi="宋体" w:hint="eastAsia"/>
          <w:sz w:val="32"/>
          <w:szCs w:val="32"/>
          <w:lang w:eastAsia="zh-CN"/>
        </w:rPr>
        <w:t>效益性负主要</w:t>
      </w:r>
      <w:proofErr w:type="gramEnd"/>
      <w:r w:rsidRPr="00374BD6">
        <w:rPr>
          <w:rFonts w:ascii="宋体" w:eastAsia="宋体" w:hAnsi="宋体" w:hint="eastAsia"/>
          <w:sz w:val="32"/>
          <w:szCs w:val="32"/>
          <w:lang w:eastAsia="zh-CN"/>
        </w:rPr>
        <w:t>监督责任。</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2. 立项资助项目在南京审计大学报销的，在项目资金拨付南京审计大学后，报销遵照南京审计大学财务报销制度履行报销手续，其中基建项目完成后提供所有票据复印件至基金会作为费用列支附件。</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3. 基金会资金中原则上不得列支会议费、招待费、培训费等非公益类运行经费。</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二、报销审批、审核权限</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1. 立项资助项目在基金会报销的，在项目预算下达后，报销人填写报销单并附原始凭据（签名）后经项目负责人审批后报秘书长、理事长签批后，经财务负责人审核后报销。</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2. 管理费用报销由秘书长签批后经财务负责人审核后报销，超过1万元（含1万元）的支出另须理事长审批。</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3. 在基金会报销单笔金额</w:t>
      </w:r>
      <w:r w:rsidR="00AB0E45">
        <w:rPr>
          <w:rFonts w:ascii="宋体" w:eastAsia="宋体" w:hAnsi="宋体"/>
          <w:sz w:val="32"/>
          <w:szCs w:val="32"/>
          <w:lang w:eastAsia="zh-CN"/>
        </w:rPr>
        <w:t>50</w:t>
      </w:r>
      <w:r w:rsidRPr="00374BD6">
        <w:rPr>
          <w:rFonts w:ascii="宋体" w:eastAsia="宋体" w:hAnsi="宋体" w:hint="eastAsia"/>
          <w:sz w:val="32"/>
          <w:szCs w:val="32"/>
          <w:lang w:eastAsia="zh-CN"/>
        </w:rPr>
        <w:t>万元以上的须监事加签，原则上食品、鲜花、水果、礼品、电话卡、其他储值卡等票据不得报销。</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4. 基金会各银行账户之间的流动资金调拨、资金理财以及银行存款的活期转存定期等业务须秘书长、理事长签批，并经财务负责人</w:t>
      </w:r>
      <w:r w:rsidRPr="00374BD6">
        <w:rPr>
          <w:rFonts w:ascii="宋体" w:eastAsia="宋体" w:hAnsi="宋体" w:hint="eastAsia"/>
          <w:sz w:val="32"/>
          <w:szCs w:val="32"/>
          <w:lang w:eastAsia="zh-CN"/>
        </w:rPr>
        <w:lastRenderedPageBreak/>
        <w:t>审核后办理，其中，理财和定期存款等业务参照南京审计大学大额资金管理办法办理。</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三、报销凭证要求</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1.原始凭证的要求</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（1）原始凭证必须符合国家有关法规、制度的规定，否则不予报销。票据不得伪造、变造、涂改、挖补、虚构业务、虚开发票；对一笔经济业务，不能蓄意拆分开具票据。</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（2）原始凭证内容必须完备，包括出票日期、单位、内容、单价、数量、金额、收票单位（必须为“南京审计大学教育发展基金会”）等，原始凭证有错误的，应当由开具单位重开或者更正，更正</w:t>
      </w:r>
      <w:proofErr w:type="gramStart"/>
      <w:r w:rsidRPr="00374BD6">
        <w:rPr>
          <w:rFonts w:ascii="宋体" w:eastAsia="宋体" w:hAnsi="宋体" w:hint="eastAsia"/>
          <w:sz w:val="32"/>
          <w:szCs w:val="32"/>
          <w:lang w:eastAsia="zh-CN"/>
        </w:rPr>
        <w:t>处应当</w:t>
      </w:r>
      <w:proofErr w:type="gramEnd"/>
      <w:r w:rsidRPr="00374BD6">
        <w:rPr>
          <w:rFonts w:ascii="宋体" w:eastAsia="宋体" w:hAnsi="宋体" w:hint="eastAsia"/>
          <w:sz w:val="32"/>
          <w:szCs w:val="32"/>
          <w:lang w:eastAsia="zh-CN"/>
        </w:rPr>
        <w:t>加盖开出单位的财务专用章，原始票据遗失原则上不予报销。</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（3）从外单位取得的发票必须是国家税务部门规定的正式发票及加盖发生经济往来的单位发票专用章；行政事业单位收费收据必须有省财政票据监制章及开票单位财务专用章。</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（4）在基金会立项使用或转入</w:t>
      </w:r>
      <w:proofErr w:type="gramStart"/>
      <w:r w:rsidRPr="00374BD6">
        <w:rPr>
          <w:rFonts w:ascii="宋体" w:eastAsia="宋体" w:hAnsi="宋体" w:hint="eastAsia"/>
          <w:sz w:val="32"/>
          <w:szCs w:val="32"/>
          <w:lang w:eastAsia="zh-CN"/>
        </w:rPr>
        <w:t>南审使用</w:t>
      </w:r>
      <w:proofErr w:type="gramEnd"/>
      <w:r w:rsidRPr="00374BD6">
        <w:rPr>
          <w:rFonts w:ascii="宋体" w:eastAsia="宋体" w:hAnsi="宋体" w:hint="eastAsia"/>
          <w:sz w:val="32"/>
          <w:szCs w:val="32"/>
          <w:lang w:eastAsia="zh-CN"/>
        </w:rPr>
        <w:t>资金须填列费用报销单，并提供定向捐赠协议（定向捐赠提供）、资金使用办法（定向捐赠提供）和立项申请表，</w:t>
      </w:r>
      <w:r w:rsidR="00AB0E45">
        <w:rPr>
          <w:rFonts w:ascii="宋体" w:eastAsia="宋体" w:hAnsi="宋体"/>
          <w:sz w:val="32"/>
          <w:szCs w:val="32"/>
          <w:lang w:eastAsia="zh-CN"/>
        </w:rPr>
        <w:t>5</w:t>
      </w:r>
      <w:r w:rsidRPr="00374BD6">
        <w:rPr>
          <w:rFonts w:ascii="宋体" w:eastAsia="宋体" w:hAnsi="宋体" w:hint="eastAsia"/>
          <w:sz w:val="32"/>
          <w:szCs w:val="32"/>
          <w:lang w:eastAsia="zh-CN"/>
        </w:rPr>
        <w:t>万元（含）以上非定向捐赠资金和</w:t>
      </w:r>
      <w:r w:rsidR="00AB0E45">
        <w:rPr>
          <w:rFonts w:ascii="宋体" w:eastAsia="宋体" w:hAnsi="宋体"/>
          <w:sz w:val="32"/>
          <w:szCs w:val="32"/>
          <w:lang w:eastAsia="zh-CN"/>
        </w:rPr>
        <w:t>50</w:t>
      </w:r>
      <w:r w:rsidRPr="00374BD6">
        <w:rPr>
          <w:rFonts w:ascii="宋体" w:eastAsia="宋体" w:hAnsi="宋体" w:hint="eastAsia"/>
          <w:sz w:val="32"/>
          <w:szCs w:val="32"/>
          <w:lang w:eastAsia="zh-CN"/>
        </w:rPr>
        <w:t>万元（含）以上定向捐赠资金还需理事会批准的会议决议。</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2.记账凭证的要求记账凭证由会计人员根据有关制度规定和审核后的原始凭证填制，做到摘要清楚，账务处理准确完整。</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四、报销的手续、标准</w:t>
      </w:r>
    </w:p>
    <w:p w:rsidR="00634B80" w:rsidRPr="00374BD6" w:rsidRDefault="00634B80" w:rsidP="00634B80">
      <w:pPr>
        <w:spacing w:after="0" w:line="560" w:lineRule="exact"/>
        <w:ind w:firstLineChars="202" w:firstLine="646"/>
        <w:rPr>
          <w:rFonts w:ascii="宋体" w:eastAsia="宋体" w:hAnsi="宋体" w:cs="宋体"/>
          <w:sz w:val="32"/>
          <w:szCs w:val="32"/>
          <w:lang w:eastAsia="zh-CN"/>
        </w:rPr>
      </w:pPr>
      <w:r w:rsidRPr="00374BD6">
        <w:rPr>
          <w:rFonts w:ascii="宋体" w:eastAsia="宋体" w:hAnsi="宋体" w:cs="宋体" w:hint="eastAsia"/>
          <w:sz w:val="32"/>
          <w:szCs w:val="32"/>
          <w:lang w:eastAsia="zh-CN"/>
        </w:rPr>
        <w:t>1.在基金会票据报销手续。票据报销时需填列“南京审计大学教育发展基金会费用报销单”填报内容完整准确，粘贴原始凭证并在凭证上签名后办理签批手续。</w:t>
      </w:r>
    </w:p>
    <w:p w:rsidR="00634B80" w:rsidRPr="00374BD6" w:rsidRDefault="00634B80" w:rsidP="00634B80">
      <w:pPr>
        <w:spacing w:after="0" w:line="560" w:lineRule="exact"/>
        <w:ind w:firstLineChars="202" w:firstLine="646"/>
        <w:rPr>
          <w:rFonts w:ascii="宋体" w:eastAsia="宋体" w:hAnsi="宋体" w:cs="宋体"/>
          <w:sz w:val="32"/>
          <w:szCs w:val="32"/>
          <w:lang w:eastAsia="zh-CN"/>
        </w:rPr>
      </w:pPr>
      <w:r w:rsidRPr="00374BD6">
        <w:rPr>
          <w:rFonts w:ascii="宋体" w:eastAsia="宋体" w:hAnsi="宋体" w:cs="宋体" w:hint="eastAsia"/>
          <w:sz w:val="32"/>
          <w:szCs w:val="32"/>
          <w:lang w:eastAsia="zh-CN"/>
        </w:rPr>
        <w:t>2.在基金会发放手续。表彰、资助等原则上不在基金会直接列支，应立项转入南京审计大学账户后根据相关办法执行，涉及税收由</w:t>
      </w:r>
      <w:r w:rsidRPr="00374BD6">
        <w:rPr>
          <w:rFonts w:ascii="宋体" w:eastAsia="宋体" w:hAnsi="宋体" w:cs="宋体" w:hint="eastAsia"/>
          <w:sz w:val="32"/>
          <w:szCs w:val="32"/>
          <w:lang w:eastAsia="zh-CN"/>
        </w:rPr>
        <w:lastRenderedPageBreak/>
        <w:t>南京审计大学代扣代缴。</w:t>
      </w:r>
    </w:p>
    <w:p w:rsidR="00634B80" w:rsidRPr="00374BD6" w:rsidRDefault="00634B80" w:rsidP="00634B80">
      <w:pPr>
        <w:spacing w:after="0" w:line="560" w:lineRule="exact"/>
        <w:ind w:firstLineChars="202" w:firstLine="646"/>
        <w:rPr>
          <w:rFonts w:ascii="宋体" w:eastAsia="宋体" w:hAnsi="宋体" w:cs="宋体"/>
          <w:sz w:val="32"/>
          <w:szCs w:val="32"/>
          <w:lang w:eastAsia="zh-CN"/>
        </w:rPr>
      </w:pPr>
      <w:r w:rsidRPr="00374BD6">
        <w:rPr>
          <w:rFonts w:ascii="宋体" w:eastAsia="宋体" w:hAnsi="宋体" w:cs="宋体" w:hint="eastAsia"/>
          <w:sz w:val="32"/>
          <w:szCs w:val="32"/>
          <w:lang w:eastAsia="zh-CN"/>
        </w:rPr>
        <w:t>3.在基金会结算方式。参照南京审计大学公务卡管理有关规定和南京审计大学财务报销制度所规定的结算方式。原则上不办理借款。</w:t>
      </w:r>
    </w:p>
    <w:p w:rsidR="00634B80" w:rsidRPr="00374BD6" w:rsidRDefault="00634B80" w:rsidP="00634B80">
      <w:pPr>
        <w:spacing w:after="0" w:line="560" w:lineRule="exact"/>
        <w:ind w:firstLineChars="202" w:firstLine="646"/>
        <w:rPr>
          <w:rFonts w:ascii="宋体" w:eastAsia="宋体" w:hAnsi="宋体" w:cs="宋体"/>
          <w:sz w:val="32"/>
          <w:szCs w:val="32"/>
          <w:lang w:eastAsia="zh-CN"/>
        </w:rPr>
      </w:pPr>
      <w:r w:rsidRPr="00374BD6">
        <w:rPr>
          <w:rFonts w:ascii="宋体" w:eastAsia="宋体" w:hAnsi="宋体" w:cs="宋体" w:hint="eastAsia"/>
          <w:sz w:val="32"/>
          <w:szCs w:val="32"/>
          <w:lang w:eastAsia="zh-CN"/>
        </w:rPr>
        <w:t>4.在基金会报销附件要求。参照南京审计大学财务报销制度有关规定执行，特殊情况须另行报告秘书长和理事长批准后办理报销手续。</w:t>
      </w:r>
    </w:p>
    <w:p w:rsidR="00634B80" w:rsidRPr="00374BD6" w:rsidRDefault="00634B80" w:rsidP="00634B80">
      <w:pPr>
        <w:spacing w:after="0" w:line="560" w:lineRule="exact"/>
        <w:ind w:firstLineChars="202" w:firstLine="646"/>
        <w:rPr>
          <w:rFonts w:ascii="宋体" w:eastAsia="宋体" w:hAnsi="宋体" w:cs="宋体"/>
          <w:sz w:val="32"/>
          <w:szCs w:val="32"/>
          <w:lang w:eastAsia="zh-CN"/>
        </w:rPr>
      </w:pPr>
      <w:r w:rsidRPr="00374BD6">
        <w:rPr>
          <w:rFonts w:ascii="宋体" w:eastAsia="宋体" w:hAnsi="宋体" w:cs="宋体" w:hint="eastAsia"/>
          <w:sz w:val="32"/>
          <w:szCs w:val="32"/>
          <w:lang w:eastAsia="zh-CN"/>
        </w:rPr>
        <w:t>5.在基金会当年取得的报销凭据（以发票上的日期为准），原则上在当年报销，最迟必须与次年3月份及以前办理报销手续。</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五、责任追究</w:t>
      </w:r>
    </w:p>
    <w:p w:rsidR="00634B80" w:rsidRPr="00374BD6" w:rsidRDefault="00634B80" w:rsidP="00634B80">
      <w:pPr>
        <w:spacing w:after="0" w:line="560" w:lineRule="exact"/>
        <w:ind w:firstLineChars="202" w:firstLine="646"/>
        <w:rPr>
          <w:rFonts w:ascii="宋体" w:eastAsia="宋体" w:hAnsi="宋体"/>
          <w:sz w:val="32"/>
          <w:szCs w:val="32"/>
          <w:lang w:eastAsia="zh-CN"/>
        </w:rPr>
      </w:pPr>
      <w:r w:rsidRPr="00374BD6">
        <w:rPr>
          <w:rFonts w:ascii="宋体" w:eastAsia="宋体" w:hAnsi="宋体" w:hint="eastAsia"/>
          <w:sz w:val="32"/>
          <w:szCs w:val="32"/>
          <w:lang w:eastAsia="zh-CN"/>
        </w:rPr>
        <w:t>基金会根据学校审计部、外部审计机构、外部有权部门出具的审计报告（或检查报告）中责任界定，依据相关法律和规定严肃追究财务报销中违规责任，如涉及违法，将移送相应机关处理。</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六、本规定经基金会理事会通过后实施，原《南京审计大学教育发展基金会财务报销制度》（2016年）作废。</w:t>
      </w:r>
    </w:p>
    <w:p w:rsidR="00634B80" w:rsidRPr="00374BD6" w:rsidRDefault="00634B80" w:rsidP="00634B80">
      <w:pPr>
        <w:spacing w:after="0" w:line="560" w:lineRule="exact"/>
        <w:ind w:firstLineChars="202" w:firstLine="649"/>
        <w:rPr>
          <w:rFonts w:ascii="宋体" w:eastAsia="宋体" w:hAnsi="宋体"/>
          <w:b/>
          <w:sz w:val="32"/>
          <w:szCs w:val="32"/>
          <w:lang w:eastAsia="zh-CN"/>
        </w:rPr>
      </w:pPr>
      <w:r w:rsidRPr="00374BD6">
        <w:rPr>
          <w:rFonts w:ascii="宋体" w:eastAsia="宋体" w:hAnsi="宋体" w:hint="eastAsia"/>
          <w:b/>
          <w:sz w:val="32"/>
          <w:szCs w:val="32"/>
          <w:lang w:eastAsia="zh-CN"/>
        </w:rPr>
        <w:t>七、本制度未尽事项按照南京审计大学财务报销制度执行。</w:t>
      </w:r>
    </w:p>
    <w:p w:rsidR="00634B80" w:rsidRPr="00634B80" w:rsidRDefault="00634B80" w:rsidP="00292846">
      <w:pPr>
        <w:spacing w:after="0" w:line="560" w:lineRule="exact"/>
        <w:ind w:firstLineChars="202" w:firstLine="649"/>
        <w:rPr>
          <w:lang w:eastAsia="zh-CN"/>
        </w:rPr>
      </w:pPr>
      <w:r w:rsidRPr="00374BD6">
        <w:rPr>
          <w:rFonts w:ascii="宋体" w:eastAsia="宋体" w:hAnsi="宋体" w:hint="eastAsia"/>
          <w:b/>
          <w:sz w:val="32"/>
          <w:szCs w:val="32"/>
          <w:lang w:eastAsia="zh-CN"/>
        </w:rPr>
        <w:t>八、本制度由基金会理事会负责解释。</w:t>
      </w:r>
    </w:p>
    <w:sectPr w:rsidR="00634B80" w:rsidRPr="00634B80" w:rsidSect="00374BD6">
      <w:footerReference w:type="default" r:id="rId7"/>
      <w:pgSz w:w="11920" w:h="16840"/>
      <w:pgMar w:top="907" w:right="1134" w:bottom="851" w:left="1134" w:header="0"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56" w:rsidRDefault="00BA2E56">
      <w:pPr>
        <w:spacing w:after="0" w:line="240" w:lineRule="auto"/>
      </w:pPr>
      <w:r>
        <w:separator/>
      </w:r>
    </w:p>
  </w:endnote>
  <w:endnote w:type="continuationSeparator" w:id="0">
    <w:p w:rsidR="00BA2E56" w:rsidRDefault="00BA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77789"/>
      <w:docPartObj>
        <w:docPartGallery w:val="Page Numbers (Bottom of Page)"/>
        <w:docPartUnique/>
      </w:docPartObj>
    </w:sdtPr>
    <w:sdtEndPr/>
    <w:sdtContent>
      <w:sdt>
        <w:sdtPr>
          <w:id w:val="247475067"/>
          <w:docPartObj>
            <w:docPartGallery w:val="Page Numbers (Top of Page)"/>
            <w:docPartUnique/>
          </w:docPartObj>
        </w:sdtPr>
        <w:sdtEndPr/>
        <w:sdtContent>
          <w:p w:rsidR="00374BD6" w:rsidRDefault="00374BD6">
            <w:pPr>
              <w:pStyle w:val="a5"/>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16216">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16216">
              <w:rPr>
                <w:b/>
                <w:bCs/>
                <w:noProof/>
              </w:rPr>
              <w:t>3</w:t>
            </w:r>
            <w:r>
              <w:rPr>
                <w:b/>
                <w:bCs/>
                <w:sz w:val="24"/>
                <w:szCs w:val="24"/>
              </w:rPr>
              <w:fldChar w:fldCharType="end"/>
            </w:r>
          </w:p>
        </w:sdtContent>
      </w:sdt>
    </w:sdtContent>
  </w:sdt>
  <w:p w:rsidR="00374BD6" w:rsidRDefault="00374B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56" w:rsidRDefault="00BA2E56">
      <w:pPr>
        <w:spacing w:after="0" w:line="240" w:lineRule="auto"/>
      </w:pPr>
      <w:r>
        <w:separator/>
      </w:r>
    </w:p>
  </w:footnote>
  <w:footnote w:type="continuationSeparator" w:id="0">
    <w:p w:rsidR="00BA2E56" w:rsidRDefault="00BA2E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80"/>
    <w:rsid w:val="00147D5E"/>
    <w:rsid w:val="00292846"/>
    <w:rsid w:val="00374BD6"/>
    <w:rsid w:val="003E7A52"/>
    <w:rsid w:val="00430F49"/>
    <w:rsid w:val="00523FB4"/>
    <w:rsid w:val="00634B80"/>
    <w:rsid w:val="006536BC"/>
    <w:rsid w:val="006638B2"/>
    <w:rsid w:val="007A06FA"/>
    <w:rsid w:val="007A2850"/>
    <w:rsid w:val="007D3019"/>
    <w:rsid w:val="00801F15"/>
    <w:rsid w:val="0085794D"/>
    <w:rsid w:val="008F3C1A"/>
    <w:rsid w:val="00916216"/>
    <w:rsid w:val="00A93079"/>
    <w:rsid w:val="00AB0E45"/>
    <w:rsid w:val="00B02027"/>
    <w:rsid w:val="00B27293"/>
    <w:rsid w:val="00B418A8"/>
    <w:rsid w:val="00BA2E56"/>
    <w:rsid w:val="00D239F4"/>
    <w:rsid w:val="00D31DB3"/>
    <w:rsid w:val="00D95568"/>
    <w:rsid w:val="00E859B0"/>
    <w:rsid w:val="00EC185F"/>
    <w:rsid w:val="00FC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CB3A"/>
  <w15:chartTrackingRefBased/>
  <w15:docId w15:val="{C86A4EC2-5E1A-4DA3-938D-37290FEC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80"/>
    <w:pPr>
      <w:widowControl w:val="0"/>
      <w:spacing w:after="200" w:line="276" w:lineRule="auto"/>
    </w:pPr>
    <w:rPr>
      <w:kern w:val="0"/>
      <w:sz w:val="22"/>
      <w:lang w:eastAsia="en-US"/>
    </w:rPr>
  </w:style>
  <w:style w:type="paragraph" w:styleId="1">
    <w:name w:val="heading 1"/>
    <w:basedOn w:val="a"/>
    <w:next w:val="a"/>
    <w:link w:val="10"/>
    <w:uiPriority w:val="9"/>
    <w:qFormat/>
    <w:rsid w:val="00374B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BD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74BD6"/>
    <w:rPr>
      <w:kern w:val="0"/>
      <w:sz w:val="18"/>
      <w:szCs w:val="18"/>
      <w:lang w:eastAsia="en-US"/>
    </w:rPr>
  </w:style>
  <w:style w:type="paragraph" w:styleId="a5">
    <w:name w:val="footer"/>
    <w:basedOn w:val="a"/>
    <w:link w:val="a6"/>
    <w:uiPriority w:val="99"/>
    <w:unhideWhenUsed/>
    <w:rsid w:val="00374BD6"/>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374BD6"/>
    <w:rPr>
      <w:kern w:val="0"/>
      <w:sz w:val="18"/>
      <w:szCs w:val="18"/>
      <w:lang w:eastAsia="en-US"/>
    </w:rPr>
  </w:style>
  <w:style w:type="character" w:customStyle="1" w:styleId="10">
    <w:name w:val="标题 1 字符"/>
    <w:basedOn w:val="a0"/>
    <w:link w:val="1"/>
    <w:uiPriority w:val="9"/>
    <w:rsid w:val="00374BD6"/>
    <w:rPr>
      <w:b/>
      <w:bCs/>
      <w:kern w:val="44"/>
      <w:sz w:val="44"/>
      <w:szCs w:val="44"/>
      <w:lang w:eastAsia="en-US"/>
    </w:rPr>
  </w:style>
  <w:style w:type="paragraph" w:styleId="TOC">
    <w:name w:val="TOC Heading"/>
    <w:basedOn w:val="1"/>
    <w:next w:val="a"/>
    <w:uiPriority w:val="39"/>
    <w:unhideWhenUsed/>
    <w:qFormat/>
    <w:rsid w:val="00374BD6"/>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1">
    <w:name w:val="toc 1"/>
    <w:basedOn w:val="a"/>
    <w:next w:val="a"/>
    <w:autoRedefine/>
    <w:uiPriority w:val="39"/>
    <w:unhideWhenUsed/>
    <w:rsid w:val="00374BD6"/>
  </w:style>
  <w:style w:type="character" w:styleId="a7">
    <w:name w:val="Hyperlink"/>
    <w:basedOn w:val="a0"/>
    <w:uiPriority w:val="99"/>
    <w:unhideWhenUsed/>
    <w:rsid w:val="00374BD6"/>
    <w:rPr>
      <w:color w:val="0563C1" w:themeColor="hyperlink"/>
      <w:u w:val="single"/>
    </w:rPr>
  </w:style>
  <w:style w:type="paragraph" w:styleId="a8">
    <w:name w:val="No Spacing"/>
    <w:link w:val="a9"/>
    <w:uiPriority w:val="1"/>
    <w:qFormat/>
    <w:rsid w:val="00374BD6"/>
    <w:rPr>
      <w:kern w:val="0"/>
      <w:sz w:val="22"/>
    </w:rPr>
  </w:style>
  <w:style w:type="character" w:customStyle="1" w:styleId="a9">
    <w:name w:val="无间隔 字符"/>
    <w:basedOn w:val="a0"/>
    <w:link w:val="a8"/>
    <w:uiPriority w:val="1"/>
    <w:rsid w:val="00374BD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967">
      <w:bodyDiv w:val="1"/>
      <w:marLeft w:val="0"/>
      <w:marRight w:val="0"/>
      <w:marTop w:val="0"/>
      <w:marBottom w:val="0"/>
      <w:divBdr>
        <w:top w:val="none" w:sz="0" w:space="0" w:color="auto"/>
        <w:left w:val="none" w:sz="0" w:space="0" w:color="auto"/>
        <w:bottom w:val="none" w:sz="0" w:space="0" w:color="auto"/>
        <w:right w:val="none" w:sz="0" w:space="0" w:color="auto"/>
      </w:divBdr>
    </w:div>
    <w:div w:id="502740055">
      <w:bodyDiv w:val="1"/>
      <w:marLeft w:val="0"/>
      <w:marRight w:val="0"/>
      <w:marTop w:val="0"/>
      <w:marBottom w:val="0"/>
      <w:divBdr>
        <w:top w:val="none" w:sz="0" w:space="0" w:color="auto"/>
        <w:left w:val="none" w:sz="0" w:space="0" w:color="auto"/>
        <w:bottom w:val="none" w:sz="0" w:space="0" w:color="auto"/>
        <w:right w:val="none" w:sz="0" w:space="0" w:color="auto"/>
      </w:divBdr>
    </w:div>
    <w:div w:id="531502708">
      <w:bodyDiv w:val="1"/>
      <w:marLeft w:val="0"/>
      <w:marRight w:val="0"/>
      <w:marTop w:val="0"/>
      <w:marBottom w:val="0"/>
      <w:divBdr>
        <w:top w:val="none" w:sz="0" w:space="0" w:color="auto"/>
        <w:left w:val="none" w:sz="0" w:space="0" w:color="auto"/>
        <w:bottom w:val="none" w:sz="0" w:space="0" w:color="auto"/>
        <w:right w:val="none" w:sz="0" w:space="0" w:color="auto"/>
      </w:divBdr>
    </w:div>
    <w:div w:id="596982813">
      <w:bodyDiv w:val="1"/>
      <w:marLeft w:val="0"/>
      <w:marRight w:val="0"/>
      <w:marTop w:val="0"/>
      <w:marBottom w:val="0"/>
      <w:divBdr>
        <w:top w:val="none" w:sz="0" w:space="0" w:color="auto"/>
        <w:left w:val="none" w:sz="0" w:space="0" w:color="auto"/>
        <w:bottom w:val="none" w:sz="0" w:space="0" w:color="auto"/>
        <w:right w:val="none" w:sz="0" w:space="0" w:color="auto"/>
      </w:divBdr>
    </w:div>
    <w:div w:id="612906491">
      <w:bodyDiv w:val="1"/>
      <w:marLeft w:val="0"/>
      <w:marRight w:val="0"/>
      <w:marTop w:val="0"/>
      <w:marBottom w:val="0"/>
      <w:divBdr>
        <w:top w:val="none" w:sz="0" w:space="0" w:color="auto"/>
        <w:left w:val="none" w:sz="0" w:space="0" w:color="auto"/>
        <w:bottom w:val="none" w:sz="0" w:space="0" w:color="auto"/>
        <w:right w:val="none" w:sz="0" w:space="0" w:color="auto"/>
      </w:divBdr>
    </w:div>
    <w:div w:id="919604447">
      <w:bodyDiv w:val="1"/>
      <w:marLeft w:val="0"/>
      <w:marRight w:val="0"/>
      <w:marTop w:val="0"/>
      <w:marBottom w:val="0"/>
      <w:divBdr>
        <w:top w:val="none" w:sz="0" w:space="0" w:color="auto"/>
        <w:left w:val="none" w:sz="0" w:space="0" w:color="auto"/>
        <w:bottom w:val="none" w:sz="0" w:space="0" w:color="auto"/>
        <w:right w:val="none" w:sz="0" w:space="0" w:color="auto"/>
      </w:divBdr>
    </w:div>
    <w:div w:id="1004478668">
      <w:bodyDiv w:val="1"/>
      <w:marLeft w:val="0"/>
      <w:marRight w:val="0"/>
      <w:marTop w:val="0"/>
      <w:marBottom w:val="0"/>
      <w:divBdr>
        <w:top w:val="none" w:sz="0" w:space="0" w:color="auto"/>
        <w:left w:val="none" w:sz="0" w:space="0" w:color="auto"/>
        <w:bottom w:val="none" w:sz="0" w:space="0" w:color="auto"/>
        <w:right w:val="none" w:sz="0" w:space="0" w:color="auto"/>
      </w:divBdr>
    </w:div>
    <w:div w:id="1046565006">
      <w:bodyDiv w:val="1"/>
      <w:marLeft w:val="0"/>
      <w:marRight w:val="0"/>
      <w:marTop w:val="0"/>
      <w:marBottom w:val="0"/>
      <w:divBdr>
        <w:top w:val="none" w:sz="0" w:space="0" w:color="auto"/>
        <w:left w:val="none" w:sz="0" w:space="0" w:color="auto"/>
        <w:bottom w:val="none" w:sz="0" w:space="0" w:color="auto"/>
        <w:right w:val="none" w:sz="0" w:space="0" w:color="auto"/>
      </w:divBdr>
    </w:div>
    <w:div w:id="1065027898">
      <w:bodyDiv w:val="1"/>
      <w:marLeft w:val="0"/>
      <w:marRight w:val="0"/>
      <w:marTop w:val="0"/>
      <w:marBottom w:val="0"/>
      <w:divBdr>
        <w:top w:val="none" w:sz="0" w:space="0" w:color="auto"/>
        <w:left w:val="none" w:sz="0" w:space="0" w:color="auto"/>
        <w:bottom w:val="none" w:sz="0" w:space="0" w:color="auto"/>
        <w:right w:val="none" w:sz="0" w:space="0" w:color="auto"/>
      </w:divBdr>
    </w:div>
    <w:div w:id="1140731047">
      <w:bodyDiv w:val="1"/>
      <w:marLeft w:val="0"/>
      <w:marRight w:val="0"/>
      <w:marTop w:val="0"/>
      <w:marBottom w:val="0"/>
      <w:divBdr>
        <w:top w:val="none" w:sz="0" w:space="0" w:color="auto"/>
        <w:left w:val="none" w:sz="0" w:space="0" w:color="auto"/>
        <w:bottom w:val="none" w:sz="0" w:space="0" w:color="auto"/>
        <w:right w:val="none" w:sz="0" w:space="0" w:color="auto"/>
      </w:divBdr>
    </w:div>
    <w:div w:id="1475219980">
      <w:bodyDiv w:val="1"/>
      <w:marLeft w:val="0"/>
      <w:marRight w:val="0"/>
      <w:marTop w:val="0"/>
      <w:marBottom w:val="0"/>
      <w:divBdr>
        <w:top w:val="none" w:sz="0" w:space="0" w:color="auto"/>
        <w:left w:val="none" w:sz="0" w:space="0" w:color="auto"/>
        <w:bottom w:val="none" w:sz="0" w:space="0" w:color="auto"/>
        <w:right w:val="none" w:sz="0" w:space="0" w:color="auto"/>
      </w:divBdr>
    </w:div>
    <w:div w:id="1627153764">
      <w:bodyDiv w:val="1"/>
      <w:marLeft w:val="0"/>
      <w:marRight w:val="0"/>
      <w:marTop w:val="0"/>
      <w:marBottom w:val="0"/>
      <w:divBdr>
        <w:top w:val="none" w:sz="0" w:space="0" w:color="auto"/>
        <w:left w:val="none" w:sz="0" w:space="0" w:color="auto"/>
        <w:bottom w:val="none" w:sz="0" w:space="0" w:color="auto"/>
        <w:right w:val="none" w:sz="0" w:space="0" w:color="auto"/>
      </w:divBdr>
    </w:div>
    <w:div w:id="1638299330">
      <w:bodyDiv w:val="1"/>
      <w:marLeft w:val="0"/>
      <w:marRight w:val="0"/>
      <w:marTop w:val="0"/>
      <w:marBottom w:val="0"/>
      <w:divBdr>
        <w:top w:val="none" w:sz="0" w:space="0" w:color="auto"/>
        <w:left w:val="none" w:sz="0" w:space="0" w:color="auto"/>
        <w:bottom w:val="none" w:sz="0" w:space="0" w:color="auto"/>
        <w:right w:val="none" w:sz="0" w:space="0" w:color="auto"/>
      </w:divBdr>
    </w:div>
    <w:div w:id="1732775374">
      <w:bodyDiv w:val="1"/>
      <w:marLeft w:val="0"/>
      <w:marRight w:val="0"/>
      <w:marTop w:val="0"/>
      <w:marBottom w:val="0"/>
      <w:divBdr>
        <w:top w:val="none" w:sz="0" w:space="0" w:color="auto"/>
        <w:left w:val="none" w:sz="0" w:space="0" w:color="auto"/>
        <w:bottom w:val="none" w:sz="0" w:space="0" w:color="auto"/>
        <w:right w:val="none" w:sz="0" w:space="0" w:color="auto"/>
      </w:divBdr>
    </w:div>
    <w:div w:id="18198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CE5E-4D81-4115-BD88-B690EFA1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南京审计大学教育发展基金会</dc:title>
  <dc:subject>制度汇编</dc:subject>
  <dc:creator>tuan</dc:creator>
  <cp:keywords/>
  <dc:description/>
  <cp:lastModifiedBy>huanglei</cp:lastModifiedBy>
  <cp:revision>26</cp:revision>
  <cp:lastPrinted>2018-11-08T15:13:00Z</cp:lastPrinted>
  <dcterms:created xsi:type="dcterms:W3CDTF">2018-10-16T10:56:00Z</dcterms:created>
  <dcterms:modified xsi:type="dcterms:W3CDTF">2018-11-10T08:23:00Z</dcterms:modified>
</cp:coreProperties>
</file>